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6EA7" w14:textId="1D0CEE4D" w:rsidR="00D4089E" w:rsidRPr="00A71435" w:rsidRDefault="00D4089E" w:rsidP="00D4089E">
      <w:pPr>
        <w:ind w:firstLine="426"/>
        <w:jc w:val="right"/>
        <w:rPr>
          <w:rFonts w:ascii="PermianSerifTypeface" w:hAnsi="PermianSerifTypeface" w:cs="Times New Roman"/>
          <w:b/>
          <w:bCs/>
          <w:color w:val="000000" w:themeColor="text1"/>
          <w:sz w:val="24"/>
          <w:szCs w:val="24"/>
          <w:lang w:val="ro-RO"/>
        </w:rPr>
      </w:pPr>
      <w:r w:rsidRPr="00A71435">
        <w:rPr>
          <w:rFonts w:ascii="PermianSerifTypeface" w:hAnsi="PermianSerifTypeface" w:cs="Times New Roman"/>
          <w:b/>
          <w:bCs/>
          <w:color w:val="000000" w:themeColor="text1"/>
          <w:sz w:val="24"/>
          <w:szCs w:val="24"/>
          <w:lang w:val="ro-RO"/>
        </w:rPr>
        <w:t>UE</w:t>
      </w:r>
    </w:p>
    <w:p w14:paraId="3192D649" w14:textId="77777777" w:rsidR="00D4089E" w:rsidRPr="00A71435" w:rsidRDefault="00D4089E" w:rsidP="00D4089E">
      <w:pPr>
        <w:ind w:firstLine="426"/>
        <w:jc w:val="right"/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</w:pPr>
      <w:r w:rsidRPr="00A71435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>Proiect</w:t>
      </w:r>
    </w:p>
    <w:p w14:paraId="69336B49" w14:textId="77777777" w:rsidR="00D4089E" w:rsidRPr="00A71435" w:rsidRDefault="00D4089E" w:rsidP="00D4089E">
      <w:pPr>
        <w:spacing w:after="120"/>
        <w:ind w:firstLine="426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r w:rsidRPr="00A71435">
        <w:rPr>
          <w:rFonts w:ascii="PermianSerifTypeface" w:hAnsi="PermianSerifTypeface"/>
          <w:b/>
          <w:bCs/>
          <w:sz w:val="24"/>
          <w:szCs w:val="24"/>
          <w:lang w:val="ro-RO"/>
        </w:rPr>
        <w:t>COMITETUL EXECUTIV</w:t>
      </w:r>
      <w:r w:rsidRPr="00A71435">
        <w:rPr>
          <w:rFonts w:ascii="PermianSerifTypeface" w:hAnsi="PermianSerifTypeface"/>
          <w:b/>
          <w:bCs/>
          <w:sz w:val="24"/>
          <w:szCs w:val="24"/>
          <w:lang w:val="ro-RO"/>
        </w:rPr>
        <w:br/>
        <w:t>AL BĂNCII NAȚIONALE A MOLDOVEI</w:t>
      </w:r>
    </w:p>
    <w:p w14:paraId="74A7B545" w14:textId="77777777" w:rsidR="00D4089E" w:rsidRPr="00A71435" w:rsidRDefault="00D4089E" w:rsidP="00D4089E">
      <w:pPr>
        <w:keepNext/>
        <w:spacing w:line="360" w:lineRule="auto"/>
        <w:ind w:firstLine="426"/>
        <w:jc w:val="center"/>
        <w:outlineLvl w:val="0"/>
        <w:rPr>
          <w:rFonts w:ascii="PermianSerifTypeface" w:hAnsi="PermianSerifTypeface"/>
          <w:b/>
          <w:bCs/>
          <w:sz w:val="24"/>
          <w:szCs w:val="24"/>
          <w:lang w:val="ro-RO"/>
        </w:rPr>
      </w:pPr>
      <w:r w:rsidRPr="00A71435">
        <w:rPr>
          <w:rFonts w:ascii="PermianSerifTypeface" w:hAnsi="PermianSerifTypeface"/>
          <w:b/>
          <w:bCs/>
          <w:sz w:val="24"/>
          <w:szCs w:val="24"/>
          <w:lang w:val="ro-RO"/>
        </w:rPr>
        <w:t>HOTĂRÂREA</w:t>
      </w:r>
    </w:p>
    <w:p w14:paraId="60E20B87" w14:textId="77777777" w:rsidR="00D4089E" w:rsidRPr="00A71435" w:rsidRDefault="00D4089E" w:rsidP="00D4089E">
      <w:pPr>
        <w:keepNext/>
        <w:spacing w:line="360" w:lineRule="auto"/>
        <w:ind w:firstLine="426"/>
        <w:jc w:val="center"/>
        <w:outlineLvl w:val="2"/>
        <w:rPr>
          <w:rFonts w:ascii="PermianSerifTypeface" w:hAnsi="PermianSerifTypeface"/>
          <w:bCs/>
          <w:sz w:val="24"/>
          <w:szCs w:val="24"/>
          <w:lang w:val="ro-RO"/>
        </w:rPr>
      </w:pPr>
      <w:r w:rsidRPr="00A71435">
        <w:rPr>
          <w:rFonts w:ascii="PermianSerifTypeface" w:hAnsi="PermianSerifTypeface"/>
          <w:bCs/>
          <w:sz w:val="24"/>
          <w:szCs w:val="24"/>
          <w:lang w:val="ro-RO"/>
        </w:rPr>
        <w:t>nr. ___ din __ __________ 20__</w:t>
      </w:r>
    </w:p>
    <w:p w14:paraId="5AE136CC" w14:textId="717321EB" w:rsidR="00D4089E" w:rsidRPr="00D4089E" w:rsidRDefault="00D4089E" w:rsidP="00D4089E">
      <w:pPr>
        <w:ind w:firstLine="426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bookmarkStart w:id="0" w:name="_Hlk223617623"/>
      <w:r w:rsidRPr="00A7143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Privind </w:t>
      </w:r>
      <w:r w:rsidR="00EA7B6F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implementarea legislației Uniunii Europene </w:t>
      </w:r>
      <w:r w:rsidR="009B69C8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pentru </w:t>
      </w:r>
      <w:r>
        <w:rPr>
          <w:rFonts w:ascii="PermianSerifTypeface" w:hAnsi="PermianSerifTypeface"/>
          <w:b/>
          <w:bCs/>
          <w:sz w:val="24"/>
          <w:szCs w:val="24"/>
          <w:lang w:val="ro-RO"/>
        </w:rPr>
        <w:t>cooperarea și schimb</w:t>
      </w:r>
      <w:r w:rsidR="0080382B">
        <w:rPr>
          <w:rFonts w:ascii="PermianSerifTypeface" w:hAnsi="PermianSerifTypeface"/>
          <w:b/>
          <w:bCs/>
          <w:sz w:val="24"/>
          <w:szCs w:val="24"/>
          <w:lang w:val="ro-RO"/>
        </w:rPr>
        <w:t>ul</w:t>
      </w:r>
      <w:r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de informații </w:t>
      </w:r>
      <w:r w:rsidR="0080382B">
        <w:rPr>
          <w:rFonts w:ascii="PermianSerifTypeface" w:hAnsi="PermianSerifTypeface"/>
          <w:b/>
          <w:bCs/>
          <w:sz w:val="24"/>
          <w:szCs w:val="24"/>
          <w:lang w:val="ro-RO"/>
        </w:rPr>
        <w:t>di</w:t>
      </w:r>
      <w:r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ntre autoritățile competente </w:t>
      </w:r>
      <w:r w:rsidRPr="00D4089E">
        <w:rPr>
          <w:rFonts w:ascii="PermianSerifTypeface" w:hAnsi="PermianSerifTypeface"/>
          <w:b/>
          <w:bCs/>
          <w:sz w:val="24"/>
          <w:szCs w:val="24"/>
          <w:lang w:val="ro-RO"/>
        </w:rPr>
        <w:t>în cazul activității desfășurate în baza dreptului de stabilire și a libertății de a presta servicii de către instituțiile de plată</w:t>
      </w:r>
    </w:p>
    <w:bookmarkEnd w:id="0"/>
    <w:p w14:paraId="0D001A83" w14:textId="396D5E32" w:rsidR="00D4089E" w:rsidRPr="00A71435" w:rsidRDefault="00D4089E" w:rsidP="00D4089E">
      <w:pPr>
        <w:tabs>
          <w:tab w:val="center" w:pos="4607"/>
          <w:tab w:val="left" w:pos="5885"/>
        </w:tabs>
        <w:ind w:firstLine="425"/>
        <w:jc w:val="both"/>
        <w:rPr>
          <w:rFonts w:ascii="PermianSerifTypeface" w:hAnsi="PermianSerifTypeface"/>
          <w:strike/>
          <w:color w:val="000000" w:themeColor="text1"/>
          <w:sz w:val="24"/>
          <w:szCs w:val="24"/>
          <w:lang w:val="ro-RO"/>
        </w:rPr>
      </w:pP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În temeiul art. 5 alin. (1) lit. m) din Legea nr. 548/1995 cu privire la Banca Națională a Moldovei (republicată în Monitorul Oficial al Republicii Moldova, 2015, nr. 297-300, art.</w:t>
      </w:r>
      <w:r w:rsidR="00D208CC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544), cu modificările ulterioare</w:t>
      </w:r>
      <w:r w:rsidR="009C395B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,</w:t>
      </w:r>
      <w:r w:rsidR="000F27B1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art. </w:t>
      </w:r>
      <w:r w:rsidR="003217A1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16 alin. (2</w:t>
      </w:r>
      <w:r w:rsidR="003217A1">
        <w:rPr>
          <w:rFonts w:ascii="PermianSerifTypeface" w:hAnsi="PermianSerifTypeface"/>
          <w:color w:val="000000" w:themeColor="text1"/>
          <w:sz w:val="24"/>
          <w:szCs w:val="24"/>
          <w:vertAlign w:val="superscript"/>
          <w:lang w:val="ro-RO"/>
        </w:rPr>
        <w:t>1</w:t>
      </w:r>
      <w:r w:rsidR="003217A1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</w:t>
      </w: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din Legea nr. 1</w:t>
      </w:r>
      <w:r w:rsidR="003217A1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00</w:t>
      </w: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/201</w:t>
      </w:r>
      <w:r w:rsidR="003217A1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7</w:t>
      </w: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cu privire la </w:t>
      </w:r>
      <w:r w:rsidR="003217A1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actele normative</w:t>
      </w: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(Monitorul Oficial al Republicii Moldova, </w:t>
      </w:r>
      <w:r w:rsidR="003217A1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2018</w:t>
      </w: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nr. </w:t>
      </w:r>
      <w:r w:rsidR="003217A1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7</w:t>
      </w: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3217A1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</w:t>
      </w: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7, art. </w:t>
      </w:r>
      <w:r w:rsidR="003217A1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34</w:t>
      </w: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), cu modificările ulterioare</w:t>
      </w:r>
      <w:r w:rsidR="0080382B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și </w:t>
      </w:r>
      <w:r w:rsidRPr="00A71435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Hotărârii Guvernului Republicii Moldova nr. 306/2025 cu privire la aprobarea Programului național de aderare a Republicii Moldova la Uniunea Europeană pentru anii 2025-2029 (Monitorul Oficial al Republicii Moldova, 2025, nr. 269-288, art. 319), cu modificările ulterioare, Comitetul executiv al Băncii Naționale a Moldovei </w:t>
      </w:r>
    </w:p>
    <w:p w14:paraId="5FA9C979" w14:textId="38ACF7EB" w:rsidR="00CB0C6E" w:rsidRPr="00707546" w:rsidRDefault="00D4089E" w:rsidP="00707546">
      <w:pPr>
        <w:ind w:firstLine="425"/>
        <w:jc w:val="center"/>
        <w:rPr>
          <w:rFonts w:ascii="PermianSerifTypeface" w:hAnsi="PermianSerifTypeface"/>
          <w:iCs/>
          <w:sz w:val="24"/>
          <w:szCs w:val="24"/>
          <w:lang w:val="ro-RO"/>
        </w:rPr>
      </w:pPr>
      <w:r w:rsidRPr="00A71435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>HOTĂRĂȘTE:</w:t>
      </w:r>
    </w:p>
    <w:p w14:paraId="341125F7" w14:textId="3DB510F4" w:rsidR="00B473B0" w:rsidRPr="00707546" w:rsidRDefault="00D4089E" w:rsidP="00B473B0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PermianSerifTypeface" w:hAnsi="PermianSerifTypeface"/>
          <w:iCs/>
          <w:sz w:val="24"/>
          <w:szCs w:val="24"/>
          <w:lang w:val="ro-RO"/>
        </w:rPr>
      </w:pPr>
      <w:r w:rsidRPr="00A71435">
        <w:rPr>
          <w:rFonts w:ascii="PermianSerifTypeface" w:hAnsi="PermianSerifTypeface"/>
          <w:iCs/>
          <w:sz w:val="24"/>
          <w:szCs w:val="24"/>
          <w:lang w:val="ro-RO"/>
        </w:rPr>
        <w:t>Banca Națională a Moldovei</w:t>
      </w:r>
      <w:r w:rsidR="00CB27CB">
        <w:rPr>
          <w:rFonts w:ascii="PermianSerifTypeface" w:hAnsi="PermianSerifTypeface"/>
          <w:iCs/>
          <w:sz w:val="24"/>
          <w:szCs w:val="24"/>
          <w:lang w:val="ro-RO"/>
        </w:rPr>
        <w:t xml:space="preserve"> </w:t>
      </w:r>
      <w:r w:rsidR="00CB0C6E" w:rsidRPr="00707546">
        <w:rPr>
          <w:rFonts w:ascii="PermianSerifTypeface" w:hAnsi="PermianSerifTypeface"/>
          <w:iCs/>
          <w:sz w:val="24"/>
          <w:szCs w:val="24"/>
          <w:lang w:val="ro-RO"/>
        </w:rPr>
        <w:t>efectuează cooperarea și schimbul de informații cu autoritățile competente ale statului membru gazdă sau, după caz, ale statului membru de origine</w:t>
      </w:r>
      <w:r w:rsidR="00EA7B6F">
        <w:rPr>
          <w:rFonts w:ascii="PermianSerifTypeface" w:hAnsi="PermianSerifTypeface"/>
          <w:iCs/>
          <w:sz w:val="24"/>
          <w:szCs w:val="24"/>
          <w:lang w:val="ro-RO"/>
        </w:rPr>
        <w:t>,</w:t>
      </w:r>
      <w:r w:rsidR="00CB0C6E" w:rsidRPr="00707546">
        <w:rPr>
          <w:rFonts w:ascii="PermianSerifTypeface" w:hAnsi="PermianSerifTypeface"/>
          <w:iCs/>
          <w:sz w:val="24"/>
          <w:szCs w:val="24"/>
          <w:lang w:val="ro-RO"/>
        </w:rPr>
        <w:t xml:space="preserve"> </w:t>
      </w:r>
      <w:r w:rsidR="00CB0C6E">
        <w:rPr>
          <w:rFonts w:ascii="PermianSerifTypeface" w:hAnsi="PermianSerifTypeface"/>
          <w:iCs/>
          <w:sz w:val="24"/>
          <w:szCs w:val="24"/>
          <w:lang w:val="ro-RO"/>
        </w:rPr>
        <w:t>conform prevederilor</w:t>
      </w:r>
      <w:r w:rsidRPr="00A71435">
        <w:rPr>
          <w:rFonts w:ascii="PermianSerifTypeface" w:hAnsi="PermianSerifTypeface"/>
          <w:iCs/>
          <w:sz w:val="24"/>
          <w:szCs w:val="24"/>
          <w:lang w:val="ro-RO"/>
        </w:rPr>
        <w:t xml:space="preserve"> </w:t>
      </w:r>
      <w:r w:rsidRPr="00846B00">
        <w:rPr>
          <w:rFonts w:ascii="PermianSerifTypeface" w:hAnsi="PermianSerifTypeface"/>
          <w:i/>
          <w:sz w:val="24"/>
          <w:szCs w:val="24"/>
          <w:lang w:val="ro-RO"/>
        </w:rPr>
        <w:t xml:space="preserve">Regulamentului </w:t>
      </w:r>
      <w:r w:rsidR="0080382B" w:rsidRPr="00846B00">
        <w:rPr>
          <w:rFonts w:ascii="PermianSerifTypeface" w:hAnsi="PermianSerifTypeface"/>
          <w:i/>
          <w:sz w:val="24"/>
          <w:szCs w:val="24"/>
          <w:lang w:val="ro-RO"/>
        </w:rPr>
        <w:t xml:space="preserve">delegat </w:t>
      </w:r>
      <w:r w:rsidRPr="00846B00">
        <w:rPr>
          <w:rFonts w:ascii="PermianSerifTypeface" w:hAnsi="PermianSerifTypeface"/>
          <w:i/>
          <w:sz w:val="24"/>
          <w:szCs w:val="24"/>
          <w:lang w:val="ro-RO"/>
        </w:rPr>
        <w:t>(UE) 20</w:t>
      </w:r>
      <w:r w:rsidR="003217A1" w:rsidRPr="00846B00">
        <w:rPr>
          <w:rFonts w:ascii="PermianSerifTypeface" w:hAnsi="PermianSerifTypeface"/>
          <w:i/>
          <w:sz w:val="24"/>
          <w:szCs w:val="24"/>
          <w:lang w:val="ro-RO"/>
        </w:rPr>
        <w:t>17</w:t>
      </w:r>
      <w:r w:rsidRPr="00846B00">
        <w:rPr>
          <w:rFonts w:ascii="PermianSerifTypeface" w:hAnsi="PermianSerifTypeface"/>
          <w:i/>
          <w:sz w:val="24"/>
          <w:szCs w:val="24"/>
          <w:lang w:val="ro-RO"/>
        </w:rPr>
        <w:t>/</w:t>
      </w:r>
      <w:r w:rsidR="003217A1" w:rsidRPr="00846B00">
        <w:rPr>
          <w:rFonts w:ascii="PermianSerifTypeface" w:hAnsi="PermianSerifTypeface"/>
          <w:i/>
          <w:sz w:val="24"/>
          <w:szCs w:val="24"/>
          <w:lang w:val="ro-RO"/>
        </w:rPr>
        <w:t>2055</w:t>
      </w:r>
      <w:r w:rsidRPr="00846B00">
        <w:rPr>
          <w:rFonts w:ascii="PermianSerifTypeface" w:hAnsi="PermianSerifTypeface"/>
          <w:i/>
          <w:sz w:val="24"/>
          <w:szCs w:val="24"/>
          <w:lang w:val="ro-RO"/>
        </w:rPr>
        <w:t xml:space="preserve"> al </w:t>
      </w:r>
      <w:r w:rsidR="003217A1" w:rsidRPr="00846B00">
        <w:rPr>
          <w:rFonts w:ascii="PermianSerifTypeface" w:hAnsi="PermianSerifTypeface"/>
          <w:i/>
          <w:sz w:val="24"/>
          <w:szCs w:val="24"/>
          <w:lang w:val="ro-RO"/>
        </w:rPr>
        <w:t xml:space="preserve"> </w:t>
      </w:r>
      <w:r w:rsidR="0080382B" w:rsidRPr="00846B00">
        <w:rPr>
          <w:rFonts w:ascii="PermianSerifTypeface" w:hAnsi="PermianSerifTypeface"/>
          <w:i/>
          <w:sz w:val="24"/>
          <w:szCs w:val="24"/>
          <w:lang w:val="ro-RO"/>
        </w:rPr>
        <w:t>C</w:t>
      </w:r>
      <w:r w:rsidR="003217A1" w:rsidRPr="00846B00">
        <w:rPr>
          <w:rFonts w:ascii="PermianSerifTypeface" w:hAnsi="PermianSerifTypeface"/>
          <w:i/>
          <w:sz w:val="24"/>
          <w:szCs w:val="24"/>
          <w:lang w:val="ro-RO"/>
        </w:rPr>
        <w:t xml:space="preserve">omisiei din 23 iunie </w:t>
      </w:r>
      <w:r w:rsidR="003217A1" w:rsidRPr="006A2051">
        <w:rPr>
          <w:rFonts w:ascii="PermianSerifTypeface" w:hAnsi="PermianSerifTypeface"/>
          <w:i/>
          <w:sz w:val="24"/>
          <w:szCs w:val="24"/>
          <w:lang w:val="ro-RO"/>
        </w:rPr>
        <w:t xml:space="preserve">2017 de completare a Directivei (UE) 2015/2366 </w:t>
      </w:r>
      <w:r w:rsidR="003217A1" w:rsidRPr="008A0623">
        <w:rPr>
          <w:rFonts w:ascii="PermianSerifTypeface" w:hAnsi="PermianSerifTypeface"/>
          <w:iCs/>
          <w:sz w:val="24"/>
          <w:szCs w:val="24"/>
          <w:lang w:val="ro-RO"/>
        </w:rPr>
        <w:t xml:space="preserve">a Parlamentului </w:t>
      </w:r>
      <w:r w:rsidR="003217A1" w:rsidRPr="00130BED">
        <w:rPr>
          <w:rFonts w:ascii="PermianSerifTypeface" w:hAnsi="PermianSerifTypeface"/>
          <w:i/>
          <w:sz w:val="24"/>
          <w:szCs w:val="24"/>
          <w:lang w:val="ro-RO"/>
        </w:rPr>
        <w:t>European și a Consiliului în ceea ce privește standardele tehnice de reglementare referitoare la cooperarea și schimbul de informații dintre autoritățile competente în cazul activității desfășurate în baza dreptului de stabilire și a libertății de a presta servicii de către instituțiile de plată</w:t>
      </w:r>
      <w:r w:rsidR="003217A1">
        <w:rPr>
          <w:rFonts w:ascii="PermianSerifTypeface" w:hAnsi="PermianSerifTypeface"/>
          <w:iCs/>
          <w:sz w:val="24"/>
          <w:szCs w:val="24"/>
          <w:lang w:val="ro-RO"/>
        </w:rPr>
        <w:t xml:space="preserve"> </w:t>
      </w:r>
      <w:r w:rsidR="001A69AD">
        <w:rPr>
          <w:rFonts w:ascii="PermianSerifTypeface" w:hAnsi="PermianSerifTypeface"/>
          <w:iCs/>
          <w:sz w:val="24"/>
          <w:szCs w:val="24"/>
          <w:lang w:val="ro-RO"/>
        </w:rPr>
        <w:t>(</w:t>
      </w:r>
      <w:r w:rsidRPr="00A71435">
        <w:rPr>
          <w:rFonts w:ascii="PermianSerifTypeface" w:hAnsi="PermianSerifTypeface"/>
          <w:iCs/>
          <w:sz w:val="24"/>
          <w:szCs w:val="24"/>
          <w:lang w:val="ro-RO"/>
        </w:rPr>
        <w:t>în continuare – Regulamentul (UE) 20</w:t>
      </w:r>
      <w:r w:rsidR="003217A1">
        <w:rPr>
          <w:rFonts w:ascii="PermianSerifTypeface" w:hAnsi="PermianSerifTypeface"/>
          <w:iCs/>
          <w:sz w:val="24"/>
          <w:szCs w:val="24"/>
          <w:lang w:val="ro-RO"/>
        </w:rPr>
        <w:t>17</w:t>
      </w:r>
      <w:r w:rsidRPr="00A71435">
        <w:rPr>
          <w:rFonts w:ascii="PermianSerifTypeface" w:hAnsi="PermianSerifTypeface"/>
          <w:iCs/>
          <w:sz w:val="24"/>
          <w:szCs w:val="24"/>
          <w:lang w:val="ro-RO"/>
        </w:rPr>
        <w:t>/</w:t>
      </w:r>
      <w:r w:rsidR="003217A1">
        <w:rPr>
          <w:rFonts w:ascii="PermianSerifTypeface" w:hAnsi="PermianSerifTypeface"/>
          <w:iCs/>
          <w:sz w:val="24"/>
          <w:szCs w:val="24"/>
          <w:lang w:val="ro-RO"/>
        </w:rPr>
        <w:t xml:space="preserve">2055), în </w:t>
      </w:r>
      <w:r w:rsidR="009874A3">
        <w:rPr>
          <w:rFonts w:ascii="PermianSerifTypeface" w:hAnsi="PermianSerifTypeface"/>
          <w:iCs/>
          <w:sz w:val="24"/>
          <w:szCs w:val="24"/>
          <w:lang w:val="ro-RO"/>
        </w:rPr>
        <w:t>ceea ce privește notificăril</w:t>
      </w:r>
      <w:r w:rsidR="00B473B0">
        <w:rPr>
          <w:rFonts w:ascii="PermianSerifTypeface" w:hAnsi="PermianSerifTypeface"/>
          <w:iCs/>
          <w:sz w:val="24"/>
          <w:szCs w:val="24"/>
          <w:lang w:val="ro-RO"/>
        </w:rPr>
        <w:t xml:space="preserve">e </w:t>
      </w:r>
      <w:r w:rsidR="009874A3">
        <w:rPr>
          <w:rFonts w:ascii="PermianSerifTypeface" w:hAnsi="PermianSerifTypeface"/>
          <w:iCs/>
          <w:sz w:val="24"/>
          <w:szCs w:val="24"/>
          <w:lang w:val="ro-RO"/>
        </w:rPr>
        <w:t>privind desfășurarea activității în baza dreptului de stabilire și a libertății de a presta servicii de către instituțiile de plată</w:t>
      </w:r>
      <w:r w:rsidR="0027002F">
        <w:rPr>
          <w:rFonts w:ascii="PermianSerifTypeface" w:hAnsi="PermianSerifTypeface"/>
          <w:iCs/>
          <w:sz w:val="24"/>
          <w:szCs w:val="24"/>
          <w:lang w:val="ro-RO"/>
        </w:rPr>
        <w:t xml:space="preserve"> și </w:t>
      </w:r>
      <w:r w:rsidR="009874A3">
        <w:rPr>
          <w:rFonts w:ascii="PermianSerifTypeface" w:hAnsi="PermianSerifTypeface"/>
          <w:iCs/>
          <w:sz w:val="24"/>
          <w:szCs w:val="24"/>
          <w:lang w:val="ro-RO"/>
        </w:rPr>
        <w:t>instituțiile emitente de monedă electronică</w:t>
      </w:r>
      <w:r w:rsidR="009874A3" w:rsidRPr="00AE361F">
        <w:rPr>
          <w:rFonts w:ascii="PermianSerifTypeface" w:hAnsi="PermianSerifTypeface"/>
          <w:iCs/>
          <w:sz w:val="24"/>
          <w:szCs w:val="24"/>
          <w:lang w:val="ro-RO"/>
        </w:rPr>
        <w:t>.</w:t>
      </w:r>
      <w:r w:rsidR="00B473B0">
        <w:rPr>
          <w:rFonts w:ascii="PermianSerifTypeface" w:hAnsi="PermianSerifTypeface"/>
          <w:iCs/>
          <w:sz w:val="24"/>
          <w:szCs w:val="24"/>
          <w:lang w:val="ro-RO"/>
        </w:rPr>
        <w:t xml:space="preserve"> </w:t>
      </w:r>
    </w:p>
    <w:p w14:paraId="25FEBE1F" w14:textId="04A678A4" w:rsidR="00C47CB0" w:rsidRPr="00707546" w:rsidRDefault="00C47CB0" w:rsidP="00AE497D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PermianSerifTypeface" w:hAnsi="PermianSerifTypeface"/>
          <w:i/>
          <w:iCs/>
          <w:sz w:val="24"/>
          <w:szCs w:val="24"/>
          <w:lang w:val="ro-RO"/>
        </w:rPr>
      </w:pPr>
      <w:r>
        <w:rPr>
          <w:rFonts w:ascii="PermianSerifTypeface" w:hAnsi="PermianSerifTypeface"/>
          <w:sz w:val="24"/>
          <w:szCs w:val="24"/>
          <w:lang w:val="ro-RO"/>
        </w:rPr>
        <w:t xml:space="preserve">Notificările privind desfășurarea activității în baza dreptului de stabilire și a libertății de a presta servicii, menționate în art. 3 alin. (1)-(3) din Regulamentul (UE) 2017/2055, </w:t>
      </w:r>
      <w:r w:rsidR="00E0735D">
        <w:rPr>
          <w:rFonts w:ascii="PermianSerifTypeface" w:hAnsi="PermianSerifTypeface"/>
          <w:sz w:val="24"/>
          <w:szCs w:val="24"/>
          <w:lang w:val="ro-RO"/>
        </w:rPr>
        <w:t>se acceptă</w:t>
      </w:r>
      <w:r w:rsidRPr="00C47CB0">
        <w:rPr>
          <w:rFonts w:ascii="PermianSerifTypeface" w:hAnsi="PermianSerifTypeface"/>
          <w:sz w:val="24"/>
          <w:szCs w:val="24"/>
          <w:lang w:val="ro-RO"/>
        </w:rPr>
        <w:t xml:space="preserve"> în limba română sau limba engleză.</w:t>
      </w:r>
    </w:p>
    <w:p w14:paraId="2A6232D3" w14:textId="3EE64701" w:rsidR="00C47CB0" w:rsidRPr="00707546" w:rsidRDefault="00DA287D" w:rsidP="00AE497D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PermianSerifTypeface" w:hAnsi="PermianSerifTypeface"/>
          <w:i/>
          <w:iCs/>
          <w:sz w:val="24"/>
          <w:szCs w:val="24"/>
          <w:lang w:val="ro-RO"/>
        </w:rPr>
      </w:pPr>
      <w:r>
        <w:rPr>
          <w:rFonts w:ascii="PermianSerifTypeface" w:hAnsi="PermianSerifTypeface"/>
          <w:sz w:val="24"/>
          <w:szCs w:val="24"/>
          <w:lang w:val="ro-RO"/>
        </w:rPr>
        <w:t>Mijlocul de comunicare</w:t>
      </w:r>
      <w:r w:rsidR="00C47CB0">
        <w:rPr>
          <w:rFonts w:ascii="PermianSerifTypeface" w:hAnsi="PermianSerifTypeface"/>
          <w:sz w:val="24"/>
          <w:szCs w:val="24"/>
          <w:lang w:val="ro-RO"/>
        </w:rPr>
        <w:t xml:space="preserve"> pentru primirea notificărilor menționate în pct. 2, în conformitate cu art.3 alin. (5) lit. b) din Regulamentul (UE)</w:t>
      </w:r>
      <w:r w:rsidR="00861B25">
        <w:rPr>
          <w:rFonts w:ascii="PermianSerifTypeface" w:hAnsi="PermianSerifTypeface"/>
          <w:sz w:val="24"/>
          <w:szCs w:val="24"/>
          <w:lang w:val="ro-RO"/>
        </w:rPr>
        <w:t xml:space="preserve"> 2017/2055, este</w:t>
      </w:r>
      <w:r w:rsidR="00846B00">
        <w:rPr>
          <w:rFonts w:ascii="PermianSerifTypeface" w:hAnsi="PermianSerifTypeface"/>
          <w:sz w:val="24"/>
          <w:szCs w:val="24"/>
          <w:lang w:val="ro-RO"/>
        </w:rPr>
        <w:t xml:space="preserve"> adresa de e-mail:</w:t>
      </w:r>
      <w:r w:rsidR="00861B2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CB27CB">
        <w:rPr>
          <w:rFonts w:ascii="PermianSerifTypeface" w:hAnsi="PermianSerifTypeface"/>
          <w:sz w:val="24"/>
          <w:szCs w:val="24"/>
          <w:lang w:val="ro-RO"/>
        </w:rPr>
        <w:t>official</w:t>
      </w:r>
      <w:hyperlink r:id="rId6" w:history="1">
        <w:r w:rsidR="00861B25" w:rsidRPr="0072235A">
          <w:rPr>
            <w:rStyle w:val="Hyperlink"/>
            <w:rFonts w:ascii="PermianSerifTypeface" w:hAnsi="PermianSerifTypeface"/>
            <w:sz w:val="24"/>
            <w:szCs w:val="24"/>
            <w:lang w:val="ro-RO"/>
          </w:rPr>
          <w:t>@bnm.md</w:t>
        </w:r>
      </w:hyperlink>
      <w:r w:rsidR="00E0735D">
        <w:rPr>
          <w:rFonts w:ascii="PermianSerifTypeface" w:hAnsi="PermianSerifTypeface"/>
          <w:sz w:val="24"/>
          <w:szCs w:val="24"/>
          <w:lang w:val="ro-RO"/>
        </w:rPr>
        <w:t xml:space="preserve"> sau</w:t>
      </w:r>
      <w:r w:rsidR="00CB27CB">
        <w:rPr>
          <w:rFonts w:ascii="PermianSerifTypeface" w:hAnsi="PermianSerifTypeface"/>
          <w:sz w:val="24"/>
          <w:szCs w:val="24"/>
          <w:lang w:val="ro-RO"/>
        </w:rPr>
        <w:t>,</w:t>
      </w:r>
      <w:r w:rsidR="00E0735D">
        <w:rPr>
          <w:rFonts w:ascii="PermianSerifTypeface" w:hAnsi="PermianSerifTypeface"/>
          <w:sz w:val="24"/>
          <w:szCs w:val="24"/>
          <w:lang w:val="ro-RO"/>
        </w:rPr>
        <w:t xml:space="preserve"> după caz, adresa poștală</w:t>
      </w:r>
      <w:r w:rsidR="00CB27CB">
        <w:rPr>
          <w:rFonts w:ascii="PermianSerifTypeface" w:hAnsi="PermianSerifTypeface"/>
          <w:sz w:val="24"/>
          <w:szCs w:val="24"/>
          <w:lang w:val="ro-RO"/>
        </w:rPr>
        <w:t xml:space="preserve">: </w:t>
      </w:r>
      <w:r w:rsidR="00CB27CB" w:rsidRPr="008A5FD7">
        <w:rPr>
          <w:rFonts w:ascii="PermianSerifTypeface" w:hAnsi="PermianSerifTypeface"/>
          <w:sz w:val="24"/>
          <w:szCs w:val="24"/>
          <w:lang w:val="ro-RO"/>
        </w:rPr>
        <w:t xml:space="preserve">Republica Moldova, MD-2005, </w:t>
      </w:r>
      <w:proofErr w:type="spellStart"/>
      <w:r w:rsidR="00CB27CB" w:rsidRPr="008A5FD7">
        <w:rPr>
          <w:rFonts w:ascii="PermianSerifTypeface" w:hAnsi="PermianSerifTypeface"/>
          <w:sz w:val="24"/>
          <w:szCs w:val="24"/>
          <w:lang w:val="ro-RO"/>
        </w:rPr>
        <w:t>Chişinău</w:t>
      </w:r>
      <w:proofErr w:type="spellEnd"/>
      <w:r w:rsidR="00CB27CB" w:rsidRPr="008A5FD7">
        <w:rPr>
          <w:rFonts w:ascii="PermianSerifTypeface" w:hAnsi="PermianSerifTypeface"/>
          <w:sz w:val="24"/>
          <w:szCs w:val="24"/>
          <w:lang w:val="ro-RO"/>
        </w:rPr>
        <w:t>, Bulevardul Grigore Vieru 1</w:t>
      </w:r>
      <w:r w:rsidR="0093163D">
        <w:rPr>
          <w:rFonts w:ascii="PermianSerifTypeface" w:hAnsi="PermianSerifTypeface"/>
          <w:sz w:val="24"/>
          <w:szCs w:val="24"/>
          <w:lang w:val="ro-RO"/>
        </w:rPr>
        <w:t>,</w:t>
      </w:r>
      <w:r w:rsidR="0093163D" w:rsidRPr="0093163D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93163D">
        <w:rPr>
          <w:rFonts w:ascii="PermianSerifTypeface" w:hAnsi="PermianSerifTypeface"/>
          <w:sz w:val="24"/>
          <w:szCs w:val="24"/>
          <w:lang w:val="ro-RO"/>
        </w:rPr>
        <w:t>publicate pe pagina web oficială a Băncii Naționale a Moldovei</w:t>
      </w:r>
      <w:r w:rsidR="00CB27CB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368D5FE6" w14:textId="789C27D4" w:rsidR="00AE497D" w:rsidRPr="00707546" w:rsidRDefault="00D4089E" w:rsidP="00AE497D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PermianSerifTypeface" w:hAnsi="PermianSerifTypeface"/>
          <w:i/>
          <w:iCs/>
          <w:sz w:val="24"/>
          <w:szCs w:val="24"/>
          <w:lang w:val="ro-RO"/>
        </w:rPr>
      </w:pPr>
      <w:r w:rsidRPr="00A71435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 xml:space="preserve">Prezenta hotărâre intră în vigoare </w:t>
      </w:r>
      <w:r w:rsidR="009B69C8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 xml:space="preserve">din </w:t>
      </w:r>
      <w:r w:rsidRPr="00A71435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 xml:space="preserve">data </w:t>
      </w:r>
      <w:r w:rsidR="009B69C8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 xml:space="preserve">intrării în vigoare a Tratatului de </w:t>
      </w:r>
      <w:r w:rsidRPr="00A71435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>ader</w:t>
      </w:r>
      <w:r w:rsidR="009B69C8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>are</w:t>
      </w:r>
      <w:r w:rsidRPr="00A71435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 xml:space="preserve"> </w:t>
      </w:r>
      <w:r w:rsidR="009B69C8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 xml:space="preserve">a </w:t>
      </w:r>
      <w:r w:rsidRPr="00A71435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>Republicii Moldova la Uniunea Europeană.</w:t>
      </w:r>
    </w:p>
    <w:sectPr w:rsidR="00AE497D" w:rsidRPr="0070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104FB"/>
    <w:multiLevelType w:val="hybridMultilevel"/>
    <w:tmpl w:val="7E949C26"/>
    <w:lvl w:ilvl="0" w:tplc="0A5CBB80">
      <w:start w:val="1"/>
      <w:numFmt w:val="decimal"/>
      <w:lvlText w:val="%1."/>
      <w:lvlJc w:val="left"/>
      <w:pPr>
        <w:ind w:left="1211" w:hanging="360"/>
      </w:pPr>
      <w:rPr>
        <w:rFonts w:ascii="PermianSerifTypeface" w:hAnsi="PermianSerifTypeface" w:hint="default"/>
        <w:b/>
        <w:bCs w:val="0"/>
        <w:i w:val="0"/>
        <w:iCs/>
        <w:strike w:val="0"/>
      </w:rPr>
    </w:lvl>
    <w:lvl w:ilvl="1" w:tplc="6F9E9B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85682"/>
    <w:multiLevelType w:val="hybridMultilevel"/>
    <w:tmpl w:val="79AC543C"/>
    <w:lvl w:ilvl="0" w:tplc="B0A6480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5" w:hanging="360"/>
      </w:pPr>
    </w:lvl>
    <w:lvl w:ilvl="2" w:tplc="0818001B" w:tentative="1">
      <w:start w:val="1"/>
      <w:numFmt w:val="lowerRoman"/>
      <w:lvlText w:val="%3."/>
      <w:lvlJc w:val="right"/>
      <w:pPr>
        <w:ind w:left="2225" w:hanging="180"/>
      </w:pPr>
    </w:lvl>
    <w:lvl w:ilvl="3" w:tplc="0818000F" w:tentative="1">
      <w:start w:val="1"/>
      <w:numFmt w:val="decimal"/>
      <w:lvlText w:val="%4."/>
      <w:lvlJc w:val="left"/>
      <w:pPr>
        <w:ind w:left="2945" w:hanging="360"/>
      </w:pPr>
    </w:lvl>
    <w:lvl w:ilvl="4" w:tplc="08180019" w:tentative="1">
      <w:start w:val="1"/>
      <w:numFmt w:val="lowerLetter"/>
      <w:lvlText w:val="%5."/>
      <w:lvlJc w:val="left"/>
      <w:pPr>
        <w:ind w:left="3665" w:hanging="360"/>
      </w:pPr>
    </w:lvl>
    <w:lvl w:ilvl="5" w:tplc="0818001B" w:tentative="1">
      <w:start w:val="1"/>
      <w:numFmt w:val="lowerRoman"/>
      <w:lvlText w:val="%6."/>
      <w:lvlJc w:val="right"/>
      <w:pPr>
        <w:ind w:left="4385" w:hanging="180"/>
      </w:pPr>
    </w:lvl>
    <w:lvl w:ilvl="6" w:tplc="0818000F" w:tentative="1">
      <w:start w:val="1"/>
      <w:numFmt w:val="decimal"/>
      <w:lvlText w:val="%7."/>
      <w:lvlJc w:val="left"/>
      <w:pPr>
        <w:ind w:left="5105" w:hanging="360"/>
      </w:pPr>
    </w:lvl>
    <w:lvl w:ilvl="7" w:tplc="08180019" w:tentative="1">
      <w:start w:val="1"/>
      <w:numFmt w:val="lowerLetter"/>
      <w:lvlText w:val="%8."/>
      <w:lvlJc w:val="left"/>
      <w:pPr>
        <w:ind w:left="5825" w:hanging="360"/>
      </w:pPr>
    </w:lvl>
    <w:lvl w:ilvl="8" w:tplc="08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3CD4594"/>
    <w:multiLevelType w:val="hybridMultilevel"/>
    <w:tmpl w:val="47A6F900"/>
    <w:lvl w:ilvl="0" w:tplc="1116ED7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i w:val="0"/>
        <w:iCs w:val="0"/>
      </w:rPr>
    </w:lvl>
    <w:lvl w:ilvl="1" w:tplc="08180019" w:tentative="1">
      <w:start w:val="1"/>
      <w:numFmt w:val="lowerLetter"/>
      <w:lvlText w:val="%2."/>
      <w:lvlJc w:val="left"/>
      <w:pPr>
        <w:ind w:left="1505" w:hanging="360"/>
      </w:pPr>
    </w:lvl>
    <w:lvl w:ilvl="2" w:tplc="0818001B" w:tentative="1">
      <w:start w:val="1"/>
      <w:numFmt w:val="lowerRoman"/>
      <w:lvlText w:val="%3."/>
      <w:lvlJc w:val="right"/>
      <w:pPr>
        <w:ind w:left="2225" w:hanging="180"/>
      </w:pPr>
    </w:lvl>
    <w:lvl w:ilvl="3" w:tplc="0818000F" w:tentative="1">
      <w:start w:val="1"/>
      <w:numFmt w:val="decimal"/>
      <w:lvlText w:val="%4."/>
      <w:lvlJc w:val="left"/>
      <w:pPr>
        <w:ind w:left="2945" w:hanging="360"/>
      </w:pPr>
    </w:lvl>
    <w:lvl w:ilvl="4" w:tplc="08180019" w:tentative="1">
      <w:start w:val="1"/>
      <w:numFmt w:val="lowerLetter"/>
      <w:lvlText w:val="%5."/>
      <w:lvlJc w:val="left"/>
      <w:pPr>
        <w:ind w:left="3665" w:hanging="360"/>
      </w:pPr>
    </w:lvl>
    <w:lvl w:ilvl="5" w:tplc="0818001B" w:tentative="1">
      <w:start w:val="1"/>
      <w:numFmt w:val="lowerRoman"/>
      <w:lvlText w:val="%6."/>
      <w:lvlJc w:val="right"/>
      <w:pPr>
        <w:ind w:left="4385" w:hanging="180"/>
      </w:pPr>
    </w:lvl>
    <w:lvl w:ilvl="6" w:tplc="0818000F" w:tentative="1">
      <w:start w:val="1"/>
      <w:numFmt w:val="decimal"/>
      <w:lvlText w:val="%7."/>
      <w:lvlJc w:val="left"/>
      <w:pPr>
        <w:ind w:left="5105" w:hanging="360"/>
      </w:pPr>
    </w:lvl>
    <w:lvl w:ilvl="7" w:tplc="08180019" w:tentative="1">
      <w:start w:val="1"/>
      <w:numFmt w:val="lowerLetter"/>
      <w:lvlText w:val="%8."/>
      <w:lvlJc w:val="left"/>
      <w:pPr>
        <w:ind w:left="5825" w:hanging="360"/>
      </w:pPr>
    </w:lvl>
    <w:lvl w:ilvl="8" w:tplc="08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D2F7AB9"/>
    <w:multiLevelType w:val="hybridMultilevel"/>
    <w:tmpl w:val="B49EC4F6"/>
    <w:lvl w:ilvl="0" w:tplc="8CC26198">
      <w:start w:val="1"/>
      <w:numFmt w:val="decimal"/>
      <w:lvlText w:val="%1."/>
      <w:lvlJc w:val="left"/>
      <w:pPr>
        <w:ind w:left="720" w:hanging="360"/>
      </w:pPr>
    </w:lvl>
    <w:lvl w:ilvl="1" w:tplc="61A8E95A">
      <w:start w:val="1"/>
      <w:numFmt w:val="decimal"/>
      <w:lvlText w:val="%2."/>
      <w:lvlJc w:val="left"/>
      <w:pPr>
        <w:ind w:left="720" w:hanging="360"/>
      </w:pPr>
    </w:lvl>
    <w:lvl w:ilvl="2" w:tplc="C75C9CFE">
      <w:start w:val="1"/>
      <w:numFmt w:val="decimal"/>
      <w:lvlText w:val="%3."/>
      <w:lvlJc w:val="left"/>
      <w:pPr>
        <w:ind w:left="720" w:hanging="360"/>
      </w:pPr>
    </w:lvl>
    <w:lvl w:ilvl="3" w:tplc="4C245C88">
      <w:start w:val="1"/>
      <w:numFmt w:val="decimal"/>
      <w:lvlText w:val="%4."/>
      <w:lvlJc w:val="left"/>
      <w:pPr>
        <w:ind w:left="720" w:hanging="360"/>
      </w:pPr>
    </w:lvl>
    <w:lvl w:ilvl="4" w:tplc="60701B4C">
      <w:start w:val="1"/>
      <w:numFmt w:val="decimal"/>
      <w:lvlText w:val="%5."/>
      <w:lvlJc w:val="left"/>
      <w:pPr>
        <w:ind w:left="720" w:hanging="360"/>
      </w:pPr>
    </w:lvl>
    <w:lvl w:ilvl="5" w:tplc="88581FF6">
      <w:start w:val="1"/>
      <w:numFmt w:val="decimal"/>
      <w:lvlText w:val="%6."/>
      <w:lvlJc w:val="left"/>
      <w:pPr>
        <w:ind w:left="720" w:hanging="360"/>
      </w:pPr>
    </w:lvl>
    <w:lvl w:ilvl="6" w:tplc="96F493B4">
      <w:start w:val="1"/>
      <w:numFmt w:val="decimal"/>
      <w:lvlText w:val="%7."/>
      <w:lvlJc w:val="left"/>
      <w:pPr>
        <w:ind w:left="720" w:hanging="360"/>
      </w:pPr>
    </w:lvl>
    <w:lvl w:ilvl="7" w:tplc="D76834F8">
      <w:start w:val="1"/>
      <w:numFmt w:val="decimal"/>
      <w:lvlText w:val="%8."/>
      <w:lvlJc w:val="left"/>
      <w:pPr>
        <w:ind w:left="720" w:hanging="360"/>
      </w:pPr>
    </w:lvl>
    <w:lvl w:ilvl="8" w:tplc="78D4FB22">
      <w:start w:val="1"/>
      <w:numFmt w:val="decimal"/>
      <w:lvlText w:val="%9."/>
      <w:lvlJc w:val="left"/>
      <w:pPr>
        <w:ind w:left="720" w:hanging="360"/>
      </w:pPr>
    </w:lvl>
  </w:abstractNum>
  <w:num w:numId="1" w16cid:durableId="1472600074">
    <w:abstractNumId w:val="0"/>
  </w:num>
  <w:num w:numId="2" w16cid:durableId="1476869396">
    <w:abstractNumId w:val="1"/>
  </w:num>
  <w:num w:numId="3" w16cid:durableId="2096903416">
    <w:abstractNumId w:val="2"/>
  </w:num>
  <w:num w:numId="4" w16cid:durableId="169102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C"/>
    <w:rsid w:val="00016670"/>
    <w:rsid w:val="000234C5"/>
    <w:rsid w:val="00041851"/>
    <w:rsid w:val="0004283D"/>
    <w:rsid w:val="00060F7C"/>
    <w:rsid w:val="00082AF5"/>
    <w:rsid w:val="000F27B1"/>
    <w:rsid w:val="000F5DAC"/>
    <w:rsid w:val="00116C86"/>
    <w:rsid w:val="00124F33"/>
    <w:rsid w:val="00130BED"/>
    <w:rsid w:val="00135594"/>
    <w:rsid w:val="001541E7"/>
    <w:rsid w:val="0017419E"/>
    <w:rsid w:val="001960A4"/>
    <w:rsid w:val="001A69AD"/>
    <w:rsid w:val="001E0299"/>
    <w:rsid w:val="001E5D38"/>
    <w:rsid w:val="001E7B51"/>
    <w:rsid w:val="00217AE3"/>
    <w:rsid w:val="00227E60"/>
    <w:rsid w:val="00257F75"/>
    <w:rsid w:val="0026615F"/>
    <w:rsid w:val="00266E19"/>
    <w:rsid w:val="0027002F"/>
    <w:rsid w:val="002E7262"/>
    <w:rsid w:val="003217A1"/>
    <w:rsid w:val="00323BF6"/>
    <w:rsid w:val="003649B5"/>
    <w:rsid w:val="0039245C"/>
    <w:rsid w:val="00393703"/>
    <w:rsid w:val="003939ED"/>
    <w:rsid w:val="003B08D4"/>
    <w:rsid w:val="003D174F"/>
    <w:rsid w:val="003D5F7E"/>
    <w:rsid w:val="003E1BD5"/>
    <w:rsid w:val="0042458B"/>
    <w:rsid w:val="004403EE"/>
    <w:rsid w:val="0044227B"/>
    <w:rsid w:val="00460C08"/>
    <w:rsid w:val="005253BD"/>
    <w:rsid w:val="005A2500"/>
    <w:rsid w:val="005B019E"/>
    <w:rsid w:val="006A2051"/>
    <w:rsid w:val="006A2DFA"/>
    <w:rsid w:val="006A4881"/>
    <w:rsid w:val="007074A7"/>
    <w:rsid w:val="00707546"/>
    <w:rsid w:val="00715DD4"/>
    <w:rsid w:val="007530A6"/>
    <w:rsid w:val="00783AF3"/>
    <w:rsid w:val="007C4D53"/>
    <w:rsid w:val="0080382B"/>
    <w:rsid w:val="00815157"/>
    <w:rsid w:val="008253CD"/>
    <w:rsid w:val="00846B00"/>
    <w:rsid w:val="0086027E"/>
    <w:rsid w:val="00861B25"/>
    <w:rsid w:val="0089606D"/>
    <w:rsid w:val="008A0623"/>
    <w:rsid w:val="008A5FD7"/>
    <w:rsid w:val="008C7630"/>
    <w:rsid w:val="008D5B69"/>
    <w:rsid w:val="0093098F"/>
    <w:rsid w:val="0093163D"/>
    <w:rsid w:val="00937F8E"/>
    <w:rsid w:val="00944CB3"/>
    <w:rsid w:val="00953C65"/>
    <w:rsid w:val="00973396"/>
    <w:rsid w:val="0097531F"/>
    <w:rsid w:val="009874A3"/>
    <w:rsid w:val="009A522B"/>
    <w:rsid w:val="009B1BC7"/>
    <w:rsid w:val="009B69C8"/>
    <w:rsid w:val="009C395B"/>
    <w:rsid w:val="009C529F"/>
    <w:rsid w:val="009D4A71"/>
    <w:rsid w:val="009E05DF"/>
    <w:rsid w:val="00A462A8"/>
    <w:rsid w:val="00A50690"/>
    <w:rsid w:val="00A6344A"/>
    <w:rsid w:val="00A7214B"/>
    <w:rsid w:val="00AA17DD"/>
    <w:rsid w:val="00AA49C9"/>
    <w:rsid w:val="00AB7DD4"/>
    <w:rsid w:val="00AE361F"/>
    <w:rsid w:val="00AE497D"/>
    <w:rsid w:val="00B13106"/>
    <w:rsid w:val="00B2443E"/>
    <w:rsid w:val="00B25B20"/>
    <w:rsid w:val="00B473B0"/>
    <w:rsid w:val="00B54224"/>
    <w:rsid w:val="00B544CE"/>
    <w:rsid w:val="00B57B65"/>
    <w:rsid w:val="00BA3957"/>
    <w:rsid w:val="00BD1585"/>
    <w:rsid w:val="00C172E6"/>
    <w:rsid w:val="00C47CB0"/>
    <w:rsid w:val="00C67345"/>
    <w:rsid w:val="00C70752"/>
    <w:rsid w:val="00CB0C6E"/>
    <w:rsid w:val="00CB27CB"/>
    <w:rsid w:val="00CD7F23"/>
    <w:rsid w:val="00CF5C42"/>
    <w:rsid w:val="00D208CC"/>
    <w:rsid w:val="00D26450"/>
    <w:rsid w:val="00D3790C"/>
    <w:rsid w:val="00D4089E"/>
    <w:rsid w:val="00DA287D"/>
    <w:rsid w:val="00DC03C7"/>
    <w:rsid w:val="00DD0492"/>
    <w:rsid w:val="00DF159C"/>
    <w:rsid w:val="00E0735D"/>
    <w:rsid w:val="00E24253"/>
    <w:rsid w:val="00EA7B6F"/>
    <w:rsid w:val="00F13DAB"/>
    <w:rsid w:val="00F43D8D"/>
    <w:rsid w:val="00F513E5"/>
    <w:rsid w:val="00F51758"/>
    <w:rsid w:val="00F64FAD"/>
    <w:rsid w:val="00F73305"/>
    <w:rsid w:val="00FA255E"/>
    <w:rsid w:val="00FC5FCF"/>
    <w:rsid w:val="00FD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06AA"/>
  <w15:chartTrackingRefBased/>
  <w15:docId w15:val="{6DD8DE47-3C4E-4443-9F6E-9C81AF47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9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59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0382B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60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F7C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F7C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61B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ailto:XXXXXXXX@bnm.md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33D3-004E-4000-BCBB-FF6133C6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2026-06-25T08:34:00Z</dcterms:created>
  <dcterms:modified xsi:type="dcterms:W3CDTF">2026-06-26T11:09:00Z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2026-05-05T14:03:52Z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cc79601b-9ec8-41dc-b4fa-b4d25e41942a</vt:lpwstr>
  </property>
  <property fmtid="{D5CDD505-2E9C-101B-9397-08002B2CF9AE}" pid="8" name="MSIP_Label_38962dcf-d39f-4edc-a396-338a56ba9170_ContentBits">
    <vt:lpwstr>0</vt:lpwstr>
  </property>
  <property fmtid="{D5CDD505-2E9C-101B-9397-08002B2CF9AE}" pid="9" name="MSIP_Label_38962dcf-d39f-4edc-a396-338a56ba9170_Tag">
    <vt:lpwstr>10, 0, 1, 1</vt:lpwstr>
  </property>
</Properties>
</file>